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B4" w:rsidRDefault="007F63B4" w:rsidP="007F63B4">
      <w:pPr>
        <w:pStyle w:val="Heading2"/>
        <w:jc w:val="center"/>
      </w:pPr>
      <w:r>
        <w:rPr>
          <w:rFonts w:ascii="Verdana" w:hAnsi="Verdana" w:cs="Arial"/>
          <w:bCs/>
          <w:caps/>
          <w:kern w:val="32"/>
          <w:sz w:val="36"/>
          <w:szCs w:val="32"/>
        </w:rPr>
        <w:t>Overn</w:t>
      </w:r>
      <w:r w:rsidR="00FA7858">
        <w:rPr>
          <w:rFonts w:ascii="Verdana" w:hAnsi="Verdana" w:cs="Arial"/>
          <w:bCs/>
          <w:caps/>
          <w:kern w:val="32"/>
          <w:sz w:val="36"/>
          <w:szCs w:val="32"/>
        </w:rPr>
        <w:t>I</w:t>
      </w:r>
      <w:r>
        <w:rPr>
          <w:rFonts w:ascii="Verdana" w:hAnsi="Verdana" w:cs="Arial"/>
          <w:bCs/>
          <w:caps/>
          <w:kern w:val="32"/>
          <w:sz w:val="36"/>
          <w:szCs w:val="32"/>
        </w:rPr>
        <w:t xml:space="preserve">ght Index Swap </w:t>
      </w:r>
      <w:r w:rsidR="00C32ED9">
        <w:rPr>
          <w:rFonts w:ascii="Verdana" w:hAnsi="Verdana" w:cs="Arial"/>
          <w:bCs/>
          <w:caps/>
          <w:kern w:val="32"/>
          <w:sz w:val="36"/>
          <w:szCs w:val="32"/>
        </w:rPr>
        <w:t>FAİZ HESAPLAMALARI</w:t>
      </w:r>
    </w:p>
    <w:p w:rsidR="007F63B4" w:rsidRDefault="007F63B4" w:rsidP="00AF7457">
      <w:pPr>
        <w:pStyle w:val="Heading2"/>
      </w:pPr>
    </w:p>
    <w:p w:rsidR="00296F5D" w:rsidRDefault="00AF7457" w:rsidP="00C32ED9">
      <w:pPr>
        <w:pStyle w:val="Heading2"/>
        <w:numPr>
          <w:ilvl w:val="0"/>
          <w:numId w:val="1"/>
        </w:numPr>
      </w:pPr>
      <w:r>
        <w:t xml:space="preserve">Rate </w:t>
      </w:r>
      <w:proofErr w:type="spellStart"/>
      <w:r>
        <w:t>Factor</w:t>
      </w:r>
      <w:proofErr w:type="spellEnd"/>
      <w:r>
        <w:t xml:space="preserve"> </w:t>
      </w:r>
      <w:r w:rsidR="00C32ED9">
        <w:t>Değerinin Hesaplanması</w:t>
      </w:r>
    </w:p>
    <w:p w:rsidR="00AF7457" w:rsidRPr="000C0B0E" w:rsidRDefault="00AF7457" w:rsidP="00AF7457">
      <w:pPr>
        <w:pStyle w:val="NormalWeb"/>
        <w:rPr>
          <w:szCs w:val="24"/>
        </w:rPr>
      </w:pPr>
    </w:p>
    <w:p w:rsidR="00AF7457" w:rsidRPr="00153F9E" w:rsidRDefault="00AF7457" w:rsidP="00AF7457">
      <w:pPr>
        <w:pStyle w:val="NormalWeb"/>
        <w:rPr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0000" w:themeColor="text1"/>
              <w:szCs w:val="24"/>
            </w:rPr>
            <m:t>Rate Factor</m:t>
          </m:r>
          <m:r>
            <w:rPr>
              <w:rFonts w:ascii="Cambria Math" w:hAnsi="Cambria Math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TLREFOISON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 xml:space="preserve"> t-1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 xml:space="preserve"> x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365</m:t>
                  </m:r>
                </m:den>
              </m:f>
            </m:e>
          </m:d>
          <m:r>
            <w:rPr>
              <w:rFonts w:ascii="Cambria Math" w:hAnsi="Cambria Math"/>
              <w:szCs w:val="24"/>
            </w:rPr>
            <m:t xml:space="preserve">x 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Rate Factor</m:t>
              </m:r>
            </m:e>
            <m:sub>
              <m:r>
                <w:rPr>
                  <w:rFonts w:ascii="Cambria Math" w:hAnsi="Cambria Math"/>
                  <w:szCs w:val="24"/>
                </w:rPr>
                <m:t>t-1</m:t>
              </m:r>
            </m:sub>
          </m:sSub>
          <m:r>
            <w:rPr>
              <w:rFonts w:ascii="Cambria Math" w:hAnsi="Cambria Math"/>
              <w:szCs w:val="24"/>
            </w:rPr>
            <m:t>]</m:t>
          </m:r>
        </m:oMath>
      </m:oMathPara>
    </w:p>
    <w:p w:rsidR="00AF7457" w:rsidRDefault="00AF7457" w:rsidP="00AF7457">
      <w:pPr>
        <w:pStyle w:val="NormalWeb"/>
        <w:rPr>
          <w:szCs w:val="24"/>
        </w:rPr>
      </w:pPr>
    </w:p>
    <w:p w:rsidR="00A43265" w:rsidRDefault="00AF7457" w:rsidP="00AF7457">
      <w:pPr>
        <w:pStyle w:val="NormalWeb"/>
        <w:rPr>
          <w:i/>
          <w:szCs w:val="24"/>
        </w:rPr>
      </w:pPr>
      <w:r w:rsidRPr="00112276">
        <w:rPr>
          <w:b/>
          <w:i/>
          <w:iCs/>
          <w:szCs w:val="24"/>
        </w:rPr>
        <w:t>n</w:t>
      </w:r>
      <w:r w:rsidRPr="00112276">
        <w:rPr>
          <w:b/>
          <w:i/>
          <w:iCs/>
          <w:szCs w:val="24"/>
          <w:vertAlign w:val="subscript"/>
        </w:rPr>
        <w:t>i</w:t>
      </w:r>
      <w:r w:rsidRPr="00112276">
        <w:rPr>
          <w:b/>
          <w:i/>
          <w:szCs w:val="24"/>
        </w:rPr>
        <w:t xml:space="preserve"> =</w:t>
      </w:r>
      <w:r w:rsidRPr="00AF7457">
        <w:rPr>
          <w:i/>
          <w:szCs w:val="24"/>
        </w:rPr>
        <w:t xml:space="preserve"> </w:t>
      </w:r>
      <w:r w:rsidR="00C32ED9">
        <w:rPr>
          <w:i/>
          <w:szCs w:val="24"/>
        </w:rPr>
        <w:t>Hesaplama dönemi içindeki gün sayısı</w:t>
      </w:r>
    </w:p>
    <w:p w:rsidR="00A43265" w:rsidRPr="00A43265" w:rsidRDefault="00A43265" w:rsidP="00AF7457">
      <w:pPr>
        <w:pStyle w:val="NormalWeb"/>
        <w:rPr>
          <w:i/>
          <w:szCs w:val="24"/>
        </w:rPr>
      </w:pPr>
      <w:r w:rsidRPr="00A43265">
        <w:rPr>
          <w:b/>
          <w:i/>
          <w:iCs/>
          <w:szCs w:val="24"/>
        </w:rPr>
        <w:t>TLREFOISON</w:t>
      </w:r>
      <w:r w:rsidRPr="00A43265">
        <w:rPr>
          <w:b/>
          <w:i/>
          <w:iCs/>
          <w:szCs w:val="24"/>
          <w:vertAlign w:val="subscript"/>
        </w:rPr>
        <w:t xml:space="preserve">t-1 </w:t>
      </w:r>
      <w:r>
        <w:rPr>
          <w:i/>
          <w:szCs w:val="24"/>
        </w:rPr>
        <w:t>= İlgili iş gününe ait rate factor değerine ulaşmak için yapılacak bileşik hesaplamada bir önceki iş gününe ait faiz oranı kullanılacaktır</w:t>
      </w:r>
    </w:p>
    <w:p w:rsidR="00AF7457" w:rsidRDefault="00C32ED9" w:rsidP="00AF7457">
      <w:pPr>
        <w:pStyle w:val="NormalWeb"/>
        <w:rPr>
          <w:szCs w:val="24"/>
        </w:rPr>
      </w:pPr>
      <w:r w:rsidRPr="00C32ED9">
        <w:rPr>
          <w:szCs w:val="24"/>
        </w:rPr>
        <w:t>Rate factor değe</w:t>
      </w:r>
      <w:r w:rsidR="004440A1">
        <w:rPr>
          <w:szCs w:val="24"/>
        </w:rPr>
        <w:t>ri sistemin açılış tarihinde 10,000,</w:t>
      </w:r>
      <w:r w:rsidRPr="00C32ED9">
        <w:rPr>
          <w:szCs w:val="24"/>
        </w:rPr>
        <w:t>000</w:t>
      </w:r>
      <w:r w:rsidR="004440A1">
        <w:rPr>
          <w:szCs w:val="24"/>
        </w:rPr>
        <w:t xml:space="preserve"> olarak belirlenecektir.</w:t>
      </w:r>
    </w:p>
    <w:p w:rsidR="004440A1" w:rsidRDefault="004440A1" w:rsidP="00AF7457">
      <w:pPr>
        <w:pStyle w:val="NormalWeb"/>
        <w:rPr>
          <w:szCs w:val="24"/>
        </w:rPr>
      </w:pPr>
      <w:r w:rsidRPr="004440A1">
        <w:rPr>
          <w:b/>
          <w:szCs w:val="24"/>
        </w:rPr>
        <w:t>NOT</w:t>
      </w:r>
      <w:r>
        <w:rPr>
          <w:szCs w:val="24"/>
        </w:rPr>
        <w:t>: Sonradan yapılan değişiklik ile ilk işlem günü olan 19/12/2019 tarihinden bir gün önce 10,000,000,000 olarak sisteme tanımlanmıştır. Canlı ortamda ilk günlerde hesaplanan rate factor’ler aşağıda yer almaktadır. Bu dokümandaki örnek hesaplamalar ise 10,000,000 üzerinden yapılmıştır.</w:t>
      </w:r>
    </w:p>
    <w:p w:rsidR="004440A1" w:rsidRDefault="004440A1" w:rsidP="00AF7457">
      <w:pPr>
        <w:pStyle w:val="NormalWeb"/>
        <w:rPr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2881223" cy="694512"/>
            <wp:effectExtent l="0" t="0" r="0" b="0"/>
            <wp:docPr id="4" name="Picture 4" descr="cid:image002.png@01D5B75E.0267B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5B75E.0267BE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363" cy="70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757" w:rsidRDefault="004C0757" w:rsidP="00AF7457">
      <w:pPr>
        <w:pStyle w:val="NormalWeb"/>
        <w:rPr>
          <w:szCs w:val="24"/>
        </w:rPr>
      </w:pPr>
    </w:p>
    <w:p w:rsidR="004C0757" w:rsidRPr="004C0757" w:rsidRDefault="004C0757" w:rsidP="00AF7457">
      <w:pPr>
        <w:pStyle w:val="NormalWeb"/>
        <w:rPr>
          <w:b/>
          <w:szCs w:val="24"/>
        </w:rPr>
      </w:pPr>
      <w:r w:rsidRPr="004C0757">
        <w:rPr>
          <w:b/>
          <w:szCs w:val="24"/>
        </w:rPr>
        <w:t>Örnek Hesaplamalar</w:t>
      </w:r>
    </w:p>
    <w:p w:rsidR="004C0757" w:rsidRPr="004C0757" w:rsidRDefault="004C0757" w:rsidP="00AF7457">
      <w:pPr>
        <w:pStyle w:val="NormalWeb"/>
        <w:rPr>
          <w:szCs w:val="24"/>
        </w:rPr>
      </w:pPr>
    </w:p>
    <w:p w:rsidR="004C0757" w:rsidRDefault="006A7C99" w:rsidP="00AF7457">
      <w:pPr>
        <w:pStyle w:val="NormalWeb"/>
        <w:rPr>
          <w:szCs w:val="24"/>
        </w:rPr>
      </w:pPr>
      <w:r w:rsidRPr="006A7C99">
        <w:rPr>
          <w:noProof/>
          <w:szCs w:val="24"/>
          <w:lang w:val="en-US" w:eastAsia="en-US"/>
        </w:rPr>
        <w:drawing>
          <wp:inline distT="0" distB="0" distL="0" distR="0">
            <wp:extent cx="4271963" cy="4278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040" cy="43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757" w:rsidRPr="004C0757">
        <w:rPr>
          <w:noProof/>
          <w:szCs w:val="24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914400" y="3995738"/>
            <wp:positionH relativeFrom="column">
              <wp:align>left</wp:align>
            </wp:positionH>
            <wp:positionV relativeFrom="paragraph">
              <wp:align>top</wp:align>
            </wp:positionV>
            <wp:extent cx="1071056" cy="10001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56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0757">
        <w:rPr>
          <w:szCs w:val="24"/>
        </w:rPr>
        <w:br w:type="textWrapping" w:clear="all"/>
      </w:r>
    </w:p>
    <w:p w:rsidR="00C32ED9" w:rsidRDefault="00D81E30" w:rsidP="00AF7457">
      <w:pPr>
        <w:pStyle w:val="NormalWeb"/>
        <w:rPr>
          <w:szCs w:val="24"/>
        </w:rPr>
      </w:pPr>
      <w:r>
        <w:rPr>
          <w:szCs w:val="24"/>
        </w:rPr>
        <w:t>Cuma günleri 3 gün üzerinden hesaplama yapılacaktır. (Örneğin 22/11/2019)</w:t>
      </w:r>
    </w:p>
    <w:p w:rsidR="004440A1" w:rsidRPr="00C32ED9" w:rsidRDefault="004440A1" w:rsidP="00AF7457">
      <w:pPr>
        <w:pStyle w:val="NormalWeb"/>
        <w:rPr>
          <w:szCs w:val="24"/>
        </w:rPr>
      </w:pPr>
    </w:p>
    <w:p w:rsidR="00AF7457" w:rsidRDefault="00C32ED9" w:rsidP="00C32ED9">
      <w:pPr>
        <w:pStyle w:val="Heading2"/>
        <w:numPr>
          <w:ilvl w:val="0"/>
          <w:numId w:val="1"/>
        </w:numPr>
      </w:pPr>
      <w:r>
        <w:t>Birikmiş Faiz Oranının Hesaplanması</w:t>
      </w:r>
    </w:p>
    <w:p w:rsidR="00AF7457" w:rsidRDefault="00AF7457" w:rsidP="00AF7457"/>
    <w:p w:rsidR="00AD029C" w:rsidRPr="00907BDD" w:rsidRDefault="00C32ED9" w:rsidP="00AD029C">
      <w:pPr>
        <w:pStyle w:val="NormalWeb"/>
        <w:rPr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0000" w:themeColor="text1"/>
              <w:szCs w:val="24"/>
            </w:rPr>
            <m:t>Birikmiş Faiz Oran</m:t>
          </m:r>
          <m:r>
            <m:rPr>
              <m:sty m:val="bi"/>
            </m:rPr>
            <w:rPr>
              <w:rFonts w:ascii="Cambria Math" w:hAnsi="Cambria Math"/>
              <w:color w:val="000000" w:themeColor="text1"/>
              <w:szCs w:val="24"/>
            </w:rPr>
            <m:t>ı</m:t>
          </m:r>
          <m:r>
            <w:rPr>
              <w:rFonts w:ascii="Cambria Math" w:hAnsi="Cambria Math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nary>
                <m:naryPr>
                  <m:chr m:val="∏"/>
                  <m:limLoc m:val="undOvr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Cs w:val="24"/>
                    </w:rPr>
                    <m:t>i=1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0</m:t>
                      </m:r>
                    </m:sub>
                  </m:sSub>
                </m:sup>
                <m:e>
                  <m:r>
                    <w:rPr>
                      <w:rFonts w:ascii="Cambria Math" w:hAnsi="Cambria Math"/>
                      <w:szCs w:val="24"/>
                    </w:rPr>
                    <m:t>(1+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TLREFOISON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 xml:space="preserve"> t-1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4"/>
                        </w:rPr>
                        <m:t xml:space="preserve"> x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Cs w:val="24"/>
                        </w:rPr>
                        <m:t>365</m:t>
                      </m:r>
                    </m:den>
                  </m:f>
                  <m:r>
                    <w:rPr>
                      <w:rFonts w:ascii="Cambria Math" w:hAnsi="Cambria Math"/>
                      <w:szCs w:val="24"/>
                    </w:rPr>
                    <m:t>)</m:t>
                  </m:r>
                </m:e>
              </m:nary>
              <m:r>
                <w:rPr>
                  <w:rFonts w:ascii="Cambria Math" w:hAnsi="Cambria Math"/>
                  <w:szCs w:val="24"/>
                </w:rPr>
                <m:t>-1</m:t>
              </m:r>
            </m:e>
          </m:d>
          <m:r>
            <w:rPr>
              <w:rFonts w:ascii="Cambria Math" w:hAnsi="Cambria Math"/>
              <w:szCs w:val="24"/>
            </w:rPr>
            <m:t>*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365</m:t>
              </m:r>
            </m:num>
            <m:den>
              <m:r>
                <w:rPr>
                  <w:rFonts w:ascii="Cambria Math" w:hAnsi="Cambria Math"/>
                  <w:szCs w:val="24"/>
                </w:rPr>
                <m:t>d</m:t>
              </m:r>
            </m:den>
          </m:f>
        </m:oMath>
      </m:oMathPara>
    </w:p>
    <w:p w:rsidR="00AD029C" w:rsidRPr="00153F9E" w:rsidRDefault="00AD029C" w:rsidP="00AD029C">
      <w:pPr>
        <w:pStyle w:val="NormalWeb"/>
        <w:rPr>
          <w:szCs w:val="24"/>
        </w:rPr>
      </w:pPr>
      <w:r>
        <w:rPr>
          <w:szCs w:val="24"/>
        </w:rPr>
        <w:t xml:space="preserve">= </w:t>
      </w:r>
    </w:p>
    <w:p w:rsidR="00AD029C" w:rsidRPr="00907BDD" w:rsidRDefault="00C32ED9" w:rsidP="00AD029C">
      <w:pPr>
        <w:pStyle w:val="NormalWeb"/>
        <w:rPr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0000" w:themeColor="text1"/>
              <w:szCs w:val="24"/>
            </w:rPr>
            <m:t>Birikmiş Faiz Oran</m:t>
          </m:r>
          <m:r>
            <m:rPr>
              <m:sty m:val="bi"/>
            </m:rPr>
            <w:rPr>
              <w:rFonts w:ascii="Cambria Math" w:hAnsi="Cambria Math"/>
              <w:color w:val="000000" w:themeColor="text1"/>
              <w:szCs w:val="24"/>
            </w:rPr>
            <m:t>ı</m:t>
          </m:r>
          <m:r>
            <w:rPr>
              <w:rFonts w:ascii="Cambria Math" w:hAnsi="Cambria Math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Rate Factor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Bitiş Tarihi-1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Rate Factor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Başlangıç Tarihi-1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Cs w:val="24"/>
                </w:rPr>
                <m:t>-1</m:t>
              </m:r>
            </m:e>
          </m:d>
          <m:r>
            <w:rPr>
              <w:rFonts w:ascii="Cambria Math" w:hAnsi="Cambria Math"/>
              <w:szCs w:val="24"/>
            </w:rPr>
            <m:t>*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365</m:t>
              </m:r>
            </m:num>
            <m:den>
              <m:r>
                <w:rPr>
                  <w:rFonts w:ascii="Cambria Math" w:hAnsi="Cambria Math"/>
                  <w:szCs w:val="24"/>
                </w:rPr>
                <m:t>d</m:t>
              </m:r>
            </m:den>
          </m:f>
        </m:oMath>
      </m:oMathPara>
    </w:p>
    <w:p w:rsidR="00AF7457" w:rsidRDefault="00AF7457" w:rsidP="00AF7457"/>
    <w:p w:rsidR="00AD029C" w:rsidRPr="000C0B0E" w:rsidRDefault="00AD029C" w:rsidP="00AD029C">
      <w:pPr>
        <w:pStyle w:val="NormalWeb"/>
        <w:rPr>
          <w:szCs w:val="24"/>
        </w:rPr>
      </w:pPr>
      <w:r w:rsidRPr="000C0B0E">
        <w:rPr>
          <w:i/>
          <w:iCs/>
          <w:szCs w:val="24"/>
        </w:rPr>
        <w:t>d</w:t>
      </w:r>
      <w:r w:rsidRPr="000C0B0E">
        <w:rPr>
          <w:szCs w:val="24"/>
        </w:rPr>
        <w:t xml:space="preserve"> = </w:t>
      </w:r>
      <w:r w:rsidR="00C32ED9">
        <w:rPr>
          <w:i/>
          <w:szCs w:val="24"/>
        </w:rPr>
        <w:t>Hesaplama dönemi içindeki gün sayısı</w:t>
      </w:r>
    </w:p>
    <w:p w:rsidR="00AD029C" w:rsidRDefault="00AD029C" w:rsidP="00AD029C">
      <w:pPr>
        <w:pStyle w:val="NormalWeb"/>
        <w:rPr>
          <w:i/>
          <w:szCs w:val="24"/>
        </w:rPr>
      </w:pPr>
      <w:r w:rsidRPr="00AF7457">
        <w:rPr>
          <w:i/>
          <w:iCs/>
          <w:szCs w:val="24"/>
        </w:rPr>
        <w:lastRenderedPageBreak/>
        <w:t>n</w:t>
      </w:r>
      <w:r w:rsidRPr="00AF7457">
        <w:rPr>
          <w:i/>
          <w:iCs/>
          <w:szCs w:val="24"/>
          <w:vertAlign w:val="subscript"/>
        </w:rPr>
        <w:t>i</w:t>
      </w:r>
      <w:r w:rsidRPr="00AF7457">
        <w:rPr>
          <w:i/>
          <w:szCs w:val="24"/>
        </w:rPr>
        <w:t xml:space="preserve"> = </w:t>
      </w:r>
      <w:r w:rsidR="00C32ED9">
        <w:rPr>
          <w:i/>
          <w:szCs w:val="24"/>
        </w:rPr>
        <w:t>Hesaplama dönemi içindeki gün sayısı</w:t>
      </w:r>
    </w:p>
    <w:p w:rsidR="00710435" w:rsidRDefault="00710435" w:rsidP="00AD029C">
      <w:pPr>
        <w:pStyle w:val="NormalWeb"/>
        <w:rPr>
          <w:i/>
          <w:szCs w:val="24"/>
        </w:rPr>
      </w:pPr>
    </w:p>
    <w:p w:rsidR="004C0757" w:rsidRPr="00710435" w:rsidRDefault="004C0757" w:rsidP="00AD029C">
      <w:pPr>
        <w:pStyle w:val="NormalWeb"/>
        <w:rPr>
          <w:b/>
          <w:i/>
          <w:szCs w:val="24"/>
        </w:rPr>
      </w:pPr>
      <w:r w:rsidRPr="00710435">
        <w:rPr>
          <w:b/>
          <w:i/>
          <w:szCs w:val="24"/>
        </w:rPr>
        <w:t>Örnek Hesaplama</w:t>
      </w:r>
    </w:p>
    <w:p w:rsidR="00194ED6" w:rsidRDefault="00194ED6" w:rsidP="00AD029C">
      <w:pPr>
        <w:pStyle w:val="NormalWeb"/>
        <w:rPr>
          <w:i/>
          <w:szCs w:val="24"/>
        </w:rPr>
      </w:pPr>
      <w:r>
        <w:rPr>
          <w:i/>
          <w:szCs w:val="24"/>
        </w:rPr>
        <w:t>19/11/2019 başlangıçlı 26/11/2019 bitişli 1.000.000 TL sözleşme büyüklüğü olan örnek bir OIS işlemi için yukarıda hesaplanan rate factorler üzerinden aşağıdaki hesaplamaya ulaşılır:</w:t>
      </w:r>
    </w:p>
    <w:p w:rsidR="004C0757" w:rsidRPr="00AF7457" w:rsidRDefault="00194ED6" w:rsidP="00AD029C">
      <w:pPr>
        <w:pStyle w:val="NormalWeb"/>
        <w:rPr>
          <w:i/>
          <w:szCs w:val="24"/>
        </w:rPr>
      </w:pPr>
      <w:r w:rsidRPr="00194ED6">
        <w:rPr>
          <w:i/>
          <w:noProof/>
          <w:szCs w:val="24"/>
          <w:lang w:val="en-US" w:eastAsia="en-US"/>
        </w:rPr>
        <w:drawing>
          <wp:inline distT="0" distB="0" distL="0" distR="0">
            <wp:extent cx="2114550" cy="390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29C" w:rsidRDefault="00AD029C" w:rsidP="00AF7457"/>
    <w:p w:rsidR="00EB3BE2" w:rsidRDefault="00C32ED9" w:rsidP="00EB3BE2">
      <w:pPr>
        <w:pStyle w:val="Heading2"/>
        <w:numPr>
          <w:ilvl w:val="0"/>
          <w:numId w:val="1"/>
        </w:numPr>
      </w:pPr>
      <w:r>
        <w:t>Birikmiş Faiz Oranına</w:t>
      </w:r>
      <w:r w:rsidR="00AD029C">
        <w:t xml:space="preserve"> </w:t>
      </w:r>
      <w:r>
        <w:t>Spread Eklenmesi</w:t>
      </w:r>
    </w:p>
    <w:p w:rsidR="00EB3BE2" w:rsidRPr="00EB3BE2" w:rsidRDefault="00EB3BE2" w:rsidP="00EB3BE2"/>
    <w:p w:rsidR="00AD029C" w:rsidRPr="00AD029C" w:rsidRDefault="00C32ED9" w:rsidP="00AF7457"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0"/>
              <w:szCs w:val="24"/>
              <w:lang w:val="sv-SE" w:eastAsia="sv-SE"/>
            </w:rPr>
            <m:t>Birikmiş OIS Faiz Oran</m:t>
          </m:r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0"/>
              <w:szCs w:val="24"/>
              <w:lang w:val="sv-SE" w:eastAsia="sv-SE"/>
            </w:rPr>
            <m:t>ı</m:t>
          </m:r>
          <m:r>
            <w:rPr>
              <w:rFonts w:ascii="Cambria Math" w:hAnsi="Cambria Math"/>
              <w:szCs w:val="24"/>
            </w:rPr>
            <m:t>=Birikmiş Faiz Oranı+Spread</m:t>
          </m:r>
        </m:oMath>
      </m:oMathPara>
    </w:p>
    <w:p w:rsidR="00AD029C" w:rsidRDefault="00C32ED9" w:rsidP="00AD029C">
      <w:pPr>
        <w:pStyle w:val="NormalWeb"/>
        <w:rPr>
          <w:szCs w:val="24"/>
        </w:rPr>
      </w:pPr>
      <w:r w:rsidRPr="00C32ED9">
        <w:rPr>
          <w:szCs w:val="24"/>
        </w:rPr>
        <w:t>Ekranlar aracılığı ile girilmiş s</w:t>
      </w:r>
      <w:r w:rsidR="00112276" w:rsidRPr="00C32ED9">
        <w:rPr>
          <w:szCs w:val="24"/>
        </w:rPr>
        <w:t>pread</w:t>
      </w:r>
      <w:r w:rsidRPr="00C32ED9">
        <w:rPr>
          <w:szCs w:val="24"/>
        </w:rPr>
        <w:t xml:space="preserve"> değeri </w:t>
      </w:r>
      <w:r w:rsidR="00112276" w:rsidRPr="00C32ED9">
        <w:rPr>
          <w:szCs w:val="24"/>
        </w:rPr>
        <w:t>10000</w:t>
      </w:r>
      <w:r w:rsidRPr="00C32ED9">
        <w:rPr>
          <w:szCs w:val="24"/>
        </w:rPr>
        <w:t>’e bölünecektir.</w:t>
      </w:r>
    </w:p>
    <w:p w:rsidR="00710435" w:rsidRDefault="00710435" w:rsidP="00AD029C">
      <w:pPr>
        <w:pStyle w:val="NormalWeb"/>
        <w:rPr>
          <w:szCs w:val="24"/>
        </w:rPr>
      </w:pPr>
    </w:p>
    <w:p w:rsidR="00194ED6" w:rsidRPr="00710435" w:rsidRDefault="00194ED6" w:rsidP="00AD029C">
      <w:pPr>
        <w:pStyle w:val="NormalWeb"/>
        <w:rPr>
          <w:b/>
          <w:szCs w:val="24"/>
        </w:rPr>
      </w:pPr>
      <w:r w:rsidRPr="00710435">
        <w:rPr>
          <w:b/>
          <w:szCs w:val="24"/>
        </w:rPr>
        <w:t>Örnek Hesaplama</w:t>
      </w:r>
    </w:p>
    <w:p w:rsidR="00194ED6" w:rsidRDefault="00194ED6" w:rsidP="00AD029C">
      <w:pPr>
        <w:pStyle w:val="NormalWeb"/>
        <w:rPr>
          <w:szCs w:val="24"/>
        </w:rPr>
      </w:pPr>
      <w:r>
        <w:rPr>
          <w:szCs w:val="24"/>
        </w:rPr>
        <w:t>Sözleşmede değişken taraf için 200 baz puanlık spread belirlendiğini düşünelim:</w:t>
      </w:r>
    </w:p>
    <w:p w:rsidR="00AD029C" w:rsidRDefault="00194ED6" w:rsidP="00194ED6">
      <w:pPr>
        <w:pStyle w:val="NormalWeb"/>
        <w:rPr>
          <w:szCs w:val="24"/>
        </w:rPr>
      </w:pPr>
      <w:r w:rsidRPr="00194ED6">
        <w:rPr>
          <w:noProof/>
          <w:szCs w:val="24"/>
          <w:lang w:val="en-US" w:eastAsia="en-US"/>
        </w:rPr>
        <w:drawing>
          <wp:inline distT="0" distB="0" distL="0" distR="0">
            <wp:extent cx="1943100" cy="390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BE2" w:rsidRPr="00194ED6" w:rsidRDefault="00EB3BE2" w:rsidP="00194ED6">
      <w:pPr>
        <w:pStyle w:val="NormalWeb"/>
        <w:rPr>
          <w:szCs w:val="24"/>
        </w:rPr>
      </w:pPr>
    </w:p>
    <w:p w:rsidR="00AD029C" w:rsidRDefault="00C32ED9" w:rsidP="00AF7457">
      <w:pPr>
        <w:pStyle w:val="Heading2"/>
        <w:numPr>
          <w:ilvl w:val="0"/>
          <w:numId w:val="1"/>
        </w:numPr>
      </w:pPr>
      <w:r>
        <w:t>Birikmiş Faiz Tutarının Hesaplanması</w:t>
      </w:r>
    </w:p>
    <w:p w:rsidR="00AD029C" w:rsidRPr="007339A9" w:rsidRDefault="00C32ED9" w:rsidP="00AD029C">
      <w:pPr>
        <w:pStyle w:val="NormalWeb"/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0000" w:themeColor="text1"/>
              <w:szCs w:val="24"/>
              <w:lang w:val="tr-TR"/>
            </w:rPr>
            <m:t>Birikmiş Faiz Tutar</m:t>
          </m:r>
          <m:r>
            <m:rPr>
              <m:sty m:val="bi"/>
            </m:rPr>
            <w:rPr>
              <w:rFonts w:ascii="Cambria Math" w:hAnsi="Cambria Math"/>
              <w:color w:val="000000" w:themeColor="text1"/>
              <w:szCs w:val="24"/>
              <w:lang w:val="tr-TR"/>
            </w:rPr>
            <m:t xml:space="preserve">ı </m:t>
          </m:r>
          <m:r>
            <m:rPr>
              <m:sty m:val="bi"/>
            </m:rPr>
            <w:rPr>
              <w:rFonts w:ascii="Cambria Math" w:hAnsi="Cambria Math"/>
              <w:color w:val="000000" w:themeColor="text1"/>
              <w:szCs w:val="24"/>
              <w:lang w:val="tr-TR"/>
            </w:rPr>
            <m:t>(cash flow)</m:t>
          </m:r>
          <m:r>
            <w:rPr>
              <w:rFonts w:ascii="Cambria Math" w:hAnsi="Cambria Math"/>
              <w:szCs w:val="24"/>
            </w:rPr>
            <m:t>=</m:t>
          </m:r>
          <m:r>
            <w:rPr>
              <w:rFonts w:ascii="Cambria Math" w:hAnsi="Cambria Math"/>
              <w:szCs w:val="24"/>
              <w:lang w:val="tr-TR"/>
            </w:rPr>
            <m:t>Birikmiş OIS Faiz Oranı</m:t>
          </m:r>
          <m:r>
            <w:rPr>
              <w:rFonts w:ascii="Cambria Math" w:hAnsi="Cambria Math"/>
              <w:szCs w:val="24"/>
            </w:rPr>
            <m:t xml:space="preserve"> x Nominal Büyüklük x 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d</m:t>
              </m:r>
            </m:num>
            <m:den>
              <m:r>
                <w:rPr>
                  <w:rFonts w:ascii="Cambria Math" w:hAnsi="Cambria Math"/>
                  <w:szCs w:val="24"/>
                </w:rPr>
                <m:t>365</m:t>
              </m:r>
            </m:den>
          </m:f>
        </m:oMath>
      </m:oMathPara>
    </w:p>
    <w:p w:rsidR="00AD029C" w:rsidRDefault="00AD029C" w:rsidP="00AF7457"/>
    <w:p w:rsidR="00194ED6" w:rsidRPr="00710435" w:rsidRDefault="00194ED6" w:rsidP="00AF7457">
      <w:pPr>
        <w:rPr>
          <w:b/>
        </w:rPr>
      </w:pPr>
      <w:r w:rsidRPr="00710435">
        <w:rPr>
          <w:b/>
        </w:rPr>
        <w:t>Örnek Hesaplama</w:t>
      </w:r>
    </w:p>
    <w:p w:rsidR="00CD08FB" w:rsidRPr="0069764E" w:rsidRDefault="00194ED6" w:rsidP="0069764E">
      <w:r w:rsidRPr="00194ED6">
        <w:rPr>
          <w:noProof/>
          <w:lang w:val="en-US"/>
        </w:rPr>
        <w:drawing>
          <wp:inline distT="0" distB="0" distL="0" distR="0">
            <wp:extent cx="2552700" cy="390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08FB" w:rsidRPr="0069764E" w:rsidSect="00346969">
      <w:footerReference w:type="default" r:id="rId14"/>
      <w:pgSz w:w="11909" w:h="16834" w:code="9"/>
      <w:pgMar w:top="2160" w:right="1440" w:bottom="1440" w:left="1440" w:header="562" w:footer="706" w:gutter="0"/>
      <w:paperSrc w:first="258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6C5" w:rsidRDefault="003656C5" w:rsidP="00872BA0">
      <w:pPr>
        <w:spacing w:after="0" w:line="240" w:lineRule="auto"/>
      </w:pPr>
      <w:r>
        <w:separator/>
      </w:r>
    </w:p>
  </w:endnote>
  <w:endnote w:type="continuationSeparator" w:id="0">
    <w:p w:rsidR="003656C5" w:rsidRDefault="003656C5" w:rsidP="0087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BA0" w:rsidRDefault="00872BA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10232390</wp:posOffset>
              </wp:positionV>
              <wp:extent cx="7562215" cy="266700"/>
              <wp:effectExtent l="0" t="0" r="0" b="0"/>
              <wp:wrapNone/>
              <wp:docPr id="1" name="MSIPCM9a3544de8c3d4f2a467d3881" descr="{&quot;HashCode&quot;:-14289286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72BA0" w:rsidRPr="00872BA0" w:rsidRDefault="00872BA0" w:rsidP="00872BA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872BA0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Gizlilik Seviyesi: Halka Açık (Tasnif Dışı)</w:t>
                          </w:r>
                        </w:p>
                        <w:p w:rsidR="00872BA0" w:rsidRPr="00872BA0" w:rsidRDefault="00872BA0" w:rsidP="00872BA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a3544de8c3d4f2a467d3881" o:spid="_x0000_s1026" type="#_x0000_t202" alt="{&quot;HashCode&quot;:-1428928603,&quot;Height&quot;:841.0,&quot;Width&quot;:595.0,&quot;Placement&quot;:&quot;Footer&quot;,&quot;Index&quot;:&quot;Primary&quot;,&quot;Section&quot;:1,&quot;Top&quot;:0.0,&quot;Left&quot;:0.0}" style="position:absolute;margin-left:0;margin-top:805.7pt;width:595.4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" o:allowincell="f" filled="f" stroked="f" strokeweight=".5pt">
              <v:fill o:detectmouseclick="t"/>
              <v:textbox inset=",0,,0">
                <w:txbxContent>
                  <w:p w:rsidR="00872BA0" w:rsidRPr="00872BA0" w:rsidRDefault="00872BA0" w:rsidP="00872BA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872BA0">
                      <w:rPr>
                        <w:rFonts w:ascii="Calibri" w:hAnsi="Calibri" w:cs="Calibri"/>
                        <w:color w:val="A80000"/>
                        <w:sz w:val="20"/>
                      </w:rPr>
                      <w:t>Gizlilik Seviyesi: Halka Açık (Tasnif Dışı)</w:t>
                    </w:r>
                  </w:p>
                  <w:p w:rsidR="00872BA0" w:rsidRPr="00872BA0" w:rsidRDefault="00872BA0" w:rsidP="00872BA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6C5" w:rsidRDefault="003656C5" w:rsidP="00872BA0">
      <w:pPr>
        <w:spacing w:after="0" w:line="240" w:lineRule="auto"/>
      </w:pPr>
      <w:r>
        <w:separator/>
      </w:r>
    </w:p>
  </w:footnote>
  <w:footnote w:type="continuationSeparator" w:id="0">
    <w:p w:rsidR="003656C5" w:rsidRDefault="003656C5" w:rsidP="00872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0786"/>
    <w:multiLevelType w:val="hybridMultilevel"/>
    <w:tmpl w:val="36E2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57"/>
    <w:rsid w:val="0009098F"/>
    <w:rsid w:val="00106FF6"/>
    <w:rsid w:val="00112276"/>
    <w:rsid w:val="00194ED6"/>
    <w:rsid w:val="00230D15"/>
    <w:rsid w:val="00296F5D"/>
    <w:rsid w:val="00346969"/>
    <w:rsid w:val="003656C5"/>
    <w:rsid w:val="004347B7"/>
    <w:rsid w:val="004440A1"/>
    <w:rsid w:val="00464F21"/>
    <w:rsid w:val="004C0757"/>
    <w:rsid w:val="0069764E"/>
    <w:rsid w:val="006A7C99"/>
    <w:rsid w:val="00710435"/>
    <w:rsid w:val="00734075"/>
    <w:rsid w:val="007F63B4"/>
    <w:rsid w:val="00872BA0"/>
    <w:rsid w:val="0096603F"/>
    <w:rsid w:val="00A43265"/>
    <w:rsid w:val="00A72780"/>
    <w:rsid w:val="00AD029C"/>
    <w:rsid w:val="00AF7457"/>
    <w:rsid w:val="00C32ED9"/>
    <w:rsid w:val="00CD08FB"/>
    <w:rsid w:val="00CD1B43"/>
    <w:rsid w:val="00D81E30"/>
    <w:rsid w:val="00DB6F12"/>
    <w:rsid w:val="00DF0B4E"/>
    <w:rsid w:val="00EB3BE2"/>
    <w:rsid w:val="00FA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82E28"/>
  <w15:chartTrackingRefBased/>
  <w15:docId w15:val="{06AD00D3-CE10-4111-92C5-30AEEF4C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4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4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F7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F7457"/>
    <w:pPr>
      <w:spacing w:before="120" w:after="0" w:line="260" w:lineRule="atLeast"/>
    </w:pPr>
    <w:rPr>
      <w:rFonts w:ascii="Times New Roman" w:eastAsia="Times New Roman" w:hAnsi="Times New Roman" w:cs="Times New Roman"/>
      <w:sz w:val="20"/>
      <w:lang w:val="sv-SE"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AF7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72B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BA0"/>
  </w:style>
  <w:style w:type="paragraph" w:styleId="Footer">
    <w:name w:val="footer"/>
    <w:basedOn w:val="Normal"/>
    <w:link w:val="FooterChar"/>
    <w:uiPriority w:val="99"/>
    <w:unhideWhenUsed/>
    <w:rsid w:val="00872B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5B75E.0267BEE0" TargetMode="External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Takasbank Genel Merkez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Cansın YILDIZ</dc:creator>
  <cp:keywords/>
  <dc:description/>
  <cp:lastModifiedBy>Muhammet Oğuzhan AYDIN</cp:lastModifiedBy>
  <cp:revision>8</cp:revision>
  <dcterms:created xsi:type="dcterms:W3CDTF">2019-11-21T14:06:00Z</dcterms:created>
  <dcterms:modified xsi:type="dcterms:W3CDTF">2020-01-06T08:22:00Z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591970-9aec-4ec5-ad7e-455307a9c600_Enabled">
    <vt:lpwstr>True</vt:lpwstr>
  </property>
  <property fmtid="{D5CDD505-2E9C-101B-9397-08002B2CF9AE}" pid="3" name="MSIP_Label_aa591970-9aec-4ec5-ad7e-455307a9c600_SiteId">
    <vt:lpwstr>a824942f-f7ed-4cbb-adda-05e1b9905b51</vt:lpwstr>
  </property>
  <property fmtid="{D5CDD505-2E9C-101B-9397-08002B2CF9AE}" pid="4" name="MSIP_Label_aa591970-9aec-4ec5-ad7e-455307a9c600_Owner">
    <vt:lpwstr>obingol@takasdom</vt:lpwstr>
  </property>
  <property fmtid="{D5CDD505-2E9C-101B-9397-08002B2CF9AE}" pid="5" name="MSIP_Label_aa591970-9aec-4ec5-ad7e-455307a9c600_SetDate">
    <vt:lpwstr>2019-11-21T12:23:34.5969008Z</vt:lpwstr>
  </property>
  <property fmtid="{D5CDD505-2E9C-101B-9397-08002B2CF9AE}" pid="6" name="MSIP_Label_aa591970-9aec-4ec5-ad7e-455307a9c600_Name">
    <vt:lpwstr>Halka Açık (Tasnif Dışı)</vt:lpwstr>
  </property>
  <property fmtid="{D5CDD505-2E9C-101B-9397-08002B2CF9AE}" pid="7" name="MSIP_Label_aa591970-9aec-4ec5-ad7e-455307a9c600_Application">
    <vt:lpwstr>Microsoft Azure Information Protection</vt:lpwstr>
  </property>
  <property fmtid="{D5CDD505-2E9C-101B-9397-08002B2CF9AE}" pid="8" name="MSIP_Label_aa591970-9aec-4ec5-ad7e-455307a9c600_ActionId">
    <vt:lpwstr>d9421d4c-0b9b-4c69-9da9-ec81fbab9cb9</vt:lpwstr>
  </property>
  <property fmtid="{D5CDD505-2E9C-101B-9397-08002B2CF9AE}" pid="9" name="MSIP_Label_aa591970-9aec-4ec5-ad7e-455307a9c600_Extended_MSFT_Method">
    <vt:lpwstr>Manual</vt:lpwstr>
  </property>
  <property fmtid="{D5CDD505-2E9C-101B-9397-08002B2CF9AE}" pid="10" name="Sensitivity">
    <vt:lpwstr>Halka Açık (Tasnif Dışı)</vt:lpwstr>
  </property>
</Properties>
</file>